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Tranås kommunfullmäktige</w:t>
      </w:r>
    </w:p>
    <w:p>
      <w:pPr>
        <w:pStyle w:val="Heading1"/>
      </w:pPr>
      <w:r>
        <w:t xml:space="preserve">Kortare handläggningstider för bygglov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Tranås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Tranås kommuns genomsnittliga handläggningstid för bygglov är 8 veckor, längre än genomsnittet i Jönköpings län enligt Boverkets statistik 2024. Detta hämmar bostadsbyggande och företagsetableringar.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Tranås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digitalt bygglovssystem med e-tjänst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mål om max 4 veckors handläggningstid för enkla ärenden ska gälla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anställa en extra handläggare inom bygglovsenheten under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handläggningstider i kommunfullmäktige.</w:t>
      </w:r>
    </w:p>
    <w:p>
      <w:pPr>
        <w:spacing w:before="360"/>
      </w:pPr>
    </w:p>
    <w:p>
      <w:r>
        <w:t xml:space="preserve">Tranås,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Tranås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2026-07-14T05:24:36.080Z</dcterms:created>
  <dcterms:modified xsi:type="dcterms:W3CDTF">2026-07-14T05:24:36.080Z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